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Pr="002C2883" w:rsidRDefault="00E235AE" w:rsidP="00D34A35">
      <w:r>
        <w:rPr>
          <w:noProof/>
        </w:rPr>
        <w:drawing>
          <wp:inline distT="0" distB="0" distL="0" distR="0">
            <wp:extent cx="9146074" cy="603125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_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4" t="10344" r="1118" b="9018"/>
                    <a:stretch/>
                  </pic:blipFill>
                  <pic:spPr bwMode="auto">
                    <a:xfrm>
                      <a:off x="0" y="0"/>
                      <a:ext cx="9141188" cy="6028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E44" w:rsidRDefault="00A41E44" w:rsidP="00D34A35">
      <w:pPr>
        <w:ind w:left="-360"/>
        <w:rPr>
          <w:b/>
        </w:rPr>
      </w:pPr>
    </w:p>
    <w:p w:rsidR="00A41E44" w:rsidRDefault="00A41E44" w:rsidP="00E235AE">
      <w:pPr>
        <w:rPr>
          <w:b/>
        </w:rPr>
      </w:pPr>
      <w:bookmarkStart w:id="0" w:name="_GoBack"/>
      <w:bookmarkEnd w:id="0"/>
    </w:p>
    <w:p w:rsidR="00D34A35" w:rsidRDefault="00D34A35" w:rsidP="00D34A35">
      <w:pPr>
        <w:ind w:left="-360"/>
        <w:rPr>
          <w:b/>
        </w:rPr>
      </w:pPr>
    </w:p>
    <w:p w:rsidR="00DF5EFE" w:rsidRPr="00DF5EFE" w:rsidRDefault="00D34A35" w:rsidP="00DF5EFE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p w:rsidR="00DF5EFE" w:rsidRDefault="00DF5EFE" w:rsidP="00D34A35">
      <w:pPr>
        <w:spacing w:line="192" w:lineRule="auto"/>
        <w:rPr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DF5EFE" w:rsidRPr="00157F79" w:rsidTr="0035671E"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DF5EFE" w:rsidRPr="00157F79" w:rsidRDefault="00DF5EFE" w:rsidP="0035671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DF5EFE" w:rsidRPr="00157F79" w:rsidRDefault="00DF5EFE" w:rsidP="0035671E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DF5EFE" w:rsidRPr="00586710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Default="00DF5EFE" w:rsidP="0035671E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39619B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DF5EFE" w:rsidRPr="0039619B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DF5EFE" w:rsidRPr="00157F79" w:rsidTr="0035671E">
        <w:trPr>
          <w:cantSplit/>
          <w:trHeight w:val="1134"/>
        </w:trPr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DF5EFE" w:rsidRPr="00157F79" w:rsidRDefault="00DF5EFE" w:rsidP="0035671E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9C6E67" w:rsidRDefault="00DF5EFE" w:rsidP="0035671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DF5EFE" w:rsidRPr="009C6E67" w:rsidRDefault="00DF5EFE" w:rsidP="0035671E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157F79" w:rsidRDefault="00DF5EFE" w:rsidP="0035671E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A27CBC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A27CBC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513B1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29440B" w:rsidRDefault="00A101BA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29440B" w:rsidRDefault="00155F55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29440B" w:rsidRDefault="00155F55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864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B368E4">
        <w:trPr>
          <w:trHeight w:val="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</w:t>
            </w:r>
          </w:p>
        </w:tc>
      </w:tr>
      <w:tr w:rsidR="00155F55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FC5F03" w:rsidRDefault="00155F55" w:rsidP="00FC5F03">
            <w:pPr>
              <w:jc w:val="center"/>
              <w:rPr>
                <w:b/>
                <w:sz w:val="22"/>
                <w:szCs w:val="22"/>
              </w:rPr>
            </w:pPr>
            <w:r w:rsidRPr="00FC5F03"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FC5F03" w:rsidRDefault="00155F55" w:rsidP="00FC5F03">
            <w:pPr>
              <w:jc w:val="center"/>
              <w:rPr>
                <w:b/>
                <w:sz w:val="22"/>
                <w:szCs w:val="22"/>
              </w:rPr>
            </w:pPr>
            <w:r w:rsidRPr="00FC5F03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594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278</w:t>
            </w:r>
          </w:p>
        </w:tc>
      </w:tr>
      <w:tr w:rsidR="00155F55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Профессиональный 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3585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9344F1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CE1C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E1C30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5A1CD7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5A1CD7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359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466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86482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60DFD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69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CA79D8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93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proofErr w:type="spellStart"/>
            <w:r w:rsidRPr="00466C8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Техника и технология живописи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AE" w:rsidRPr="00466C8D" w:rsidRDefault="00B432AE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Фотография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411495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466C8D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1322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882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CE1C30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Default="00155F55" w:rsidP="00C661DE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  <w:p w:rsidR="00155F55" w:rsidRPr="00466C8D" w:rsidRDefault="00155F55" w:rsidP="00C661D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CE1C30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</w:t>
            </w:r>
          </w:p>
        </w:tc>
      </w:tr>
      <w:tr w:rsidR="00B432AE" w:rsidRPr="00466C8D" w:rsidTr="00445261">
        <w:trPr>
          <w:trHeight w:val="53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61" w:rsidRPr="00445261" w:rsidRDefault="00B432AE" w:rsidP="00445261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Композиция и анализ произве</w:t>
            </w:r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дений </w:t>
            </w:r>
            <w:proofErr w:type="gramStart"/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изобразительного</w:t>
            </w:r>
            <w:proofErr w:type="gramEnd"/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B329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CE1C30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411495" w:rsidP="00445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466C8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466C8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2 </w:t>
            </w:r>
            <w:proofErr w:type="spellStart"/>
            <w:r w:rsidRPr="00466C8D">
              <w:rPr>
                <w:sz w:val="22"/>
                <w:szCs w:val="22"/>
              </w:rPr>
              <w:t>недеди</w:t>
            </w:r>
            <w:proofErr w:type="spellEnd"/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ПМ.01.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pacing w:val="-1"/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466C8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466C8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466C8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ПМ.02.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0B59B4" w:rsidP="0009587B">
            <w:pPr>
              <w:jc w:val="right"/>
              <w:rPr>
                <w:sz w:val="14"/>
                <w:szCs w:val="14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 </w:t>
            </w:r>
          </w:p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466C8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7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77F25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5F55" w:rsidRPr="00466C8D" w:rsidRDefault="00155F55" w:rsidP="004E03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09587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</w:t>
            </w:r>
            <w:r w:rsidR="0009587B" w:rsidRPr="000958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253D5E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253D5E">
              <w:rPr>
                <w:b/>
                <w:sz w:val="22"/>
                <w:szCs w:val="22"/>
              </w:rPr>
              <w:t>8</w:t>
            </w:r>
          </w:p>
        </w:tc>
      </w:tr>
      <w:tr w:rsidR="00155F55" w:rsidRPr="00466C8D" w:rsidTr="00477F25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0B59B4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253D5E" w:rsidRDefault="00025992" w:rsidP="004E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55F5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7</w:t>
            </w:r>
          </w:p>
        </w:tc>
      </w:tr>
      <w:tr w:rsidR="00155F5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155F5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D957A0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B432AE" w:rsidRDefault="00477F25" w:rsidP="00477F25">
            <w:pPr>
              <w:tabs>
                <w:tab w:val="center" w:pos="162"/>
              </w:tabs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ab/>
            </w:r>
            <w:r w:rsidR="00155F55" w:rsidRPr="00477F25">
              <w:rPr>
                <w:sz w:val="22"/>
                <w:szCs w:val="22"/>
              </w:rPr>
              <w:t>0</w:t>
            </w:r>
          </w:p>
        </w:tc>
      </w:tr>
    </w:tbl>
    <w:p w:rsidR="00DC5584" w:rsidRPr="00466C8D" w:rsidRDefault="00DC5584">
      <w:pPr>
        <w:rPr>
          <w:sz w:val="22"/>
          <w:szCs w:val="22"/>
        </w:rPr>
      </w:pPr>
    </w:p>
    <w:p w:rsidR="000C464D" w:rsidRDefault="000C464D"/>
    <w:p w:rsidR="00DC5584" w:rsidRDefault="00DC5584"/>
    <w:p w:rsidR="00DC5584" w:rsidRDefault="00DC5584"/>
    <w:p w:rsidR="00DC5584" w:rsidRDefault="00DC5584"/>
    <w:p w:rsidR="00BB008A" w:rsidRDefault="00BB008A"/>
    <w:p w:rsidR="00BB008A" w:rsidRDefault="00BB008A"/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p w:rsidR="00493BCD" w:rsidRPr="00493BCD" w:rsidRDefault="00276EAB" w:rsidP="00493BCD">
      <w:pPr>
        <w:ind w:right="-83"/>
        <w:rPr>
          <w:sz w:val="24"/>
          <w:szCs w:val="24"/>
        </w:rPr>
      </w:pPr>
      <w:r w:rsidRPr="00AA29A2">
        <w:rPr>
          <w:b/>
          <w:sz w:val="22"/>
          <w:szCs w:val="22"/>
        </w:rPr>
        <w:t xml:space="preserve">Примечание: * </w:t>
      </w:r>
      <w:r w:rsidR="00493BCD" w:rsidRPr="00276EAB">
        <w:rPr>
          <w:sz w:val="24"/>
          <w:szCs w:val="24"/>
        </w:rPr>
        <w:t>Комплексный экзамен</w:t>
      </w:r>
      <w:r w:rsidR="00493BCD">
        <w:rPr>
          <w:sz w:val="24"/>
          <w:szCs w:val="24"/>
        </w:rPr>
        <w:t xml:space="preserve">-просмотр по дисциплинам ОП.01 Рисунок, ОП.02, Живопись МДК 01.01, </w:t>
      </w:r>
      <w:r w:rsidR="00493BCD" w:rsidRPr="00466C8D">
        <w:rPr>
          <w:sz w:val="22"/>
          <w:szCs w:val="22"/>
          <w:lang w:eastAsia="en-US"/>
        </w:rPr>
        <w:t>Композиция и анализ произведений изобразительного искусства</w:t>
      </w:r>
      <w:r w:rsidR="00493BCD">
        <w:rPr>
          <w:sz w:val="24"/>
          <w:szCs w:val="24"/>
        </w:rPr>
        <w:t xml:space="preserve"> </w:t>
      </w:r>
      <w:r w:rsidR="00493BCD" w:rsidRPr="00276EAB">
        <w:rPr>
          <w:sz w:val="24"/>
          <w:szCs w:val="24"/>
        </w:rPr>
        <w:t xml:space="preserve"> (1-8 семестры)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В соответствии с пунктом 7.1. </w:t>
      </w:r>
      <w:proofErr w:type="gramStart"/>
      <w:r w:rsidRPr="00AA29A2">
        <w:rPr>
          <w:sz w:val="22"/>
          <w:szCs w:val="22"/>
        </w:rPr>
        <w:t>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  <w:proofErr w:type="gramEnd"/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proofErr w:type="gramStart"/>
      <w:r w:rsidRPr="00AA29A2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составляет 900  часов.</w:t>
      </w:r>
      <w:proofErr w:type="gramEnd"/>
      <w:r w:rsidRPr="00AA29A2">
        <w:rPr>
          <w:sz w:val="22"/>
          <w:szCs w:val="22"/>
        </w:rPr>
        <w:t xml:space="preserve"> На увеличение объема времени обязательной части ППССЗ использованы 900  часов  вариативной части ППССЗ из расчета: 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r w:rsidRPr="00AA29A2">
        <w:rPr>
          <w:b/>
          <w:sz w:val="22"/>
          <w:szCs w:val="22"/>
        </w:rPr>
        <w:t>900</w:t>
      </w:r>
      <w:r w:rsidRPr="00AA29A2">
        <w:rPr>
          <w:sz w:val="22"/>
          <w:szCs w:val="22"/>
        </w:rPr>
        <w:t xml:space="preserve"> часов – на общепрофессиональные дисциплины, из них:</w:t>
      </w:r>
    </w:p>
    <w:p w:rsidR="00AA29A2" w:rsidRPr="00AA29A2" w:rsidRDefault="00AA29A2" w:rsidP="00AA29A2">
      <w:pPr>
        <w:numPr>
          <w:ilvl w:val="0"/>
          <w:numId w:val="36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808 часов – </w:t>
      </w:r>
      <w:proofErr w:type="gramStart"/>
      <w:r w:rsidRPr="00AA29A2">
        <w:rPr>
          <w:sz w:val="22"/>
          <w:szCs w:val="22"/>
        </w:rPr>
        <w:t>на</w:t>
      </w:r>
      <w:proofErr w:type="gramEnd"/>
      <w:r w:rsidRPr="00AA29A2">
        <w:rPr>
          <w:sz w:val="22"/>
          <w:szCs w:val="22"/>
        </w:rPr>
        <w:t xml:space="preserve"> ОП.01. Рисунок (308 час.), ОП.02. Живопись (500 час.);</w:t>
      </w:r>
    </w:p>
    <w:p w:rsidR="00AA29A2" w:rsidRPr="00AA29A2" w:rsidRDefault="00AA29A2" w:rsidP="00AA29A2">
      <w:pPr>
        <w:numPr>
          <w:ilvl w:val="0"/>
          <w:numId w:val="35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92 часа – </w:t>
      </w:r>
      <w:proofErr w:type="gramStart"/>
      <w:r w:rsidRPr="00AA29A2">
        <w:rPr>
          <w:sz w:val="22"/>
          <w:szCs w:val="22"/>
        </w:rPr>
        <w:t>на</w:t>
      </w:r>
      <w:proofErr w:type="gramEnd"/>
      <w:r w:rsidRPr="00AA29A2">
        <w:rPr>
          <w:sz w:val="22"/>
          <w:szCs w:val="22"/>
        </w:rPr>
        <w:t xml:space="preserve"> ОП.05. Техника и технология живописи (32 час.), ОП.06 Фотография (60 час.).</w:t>
      </w:r>
    </w:p>
    <w:p w:rsidR="00AA29A2" w:rsidRPr="00AA29A2" w:rsidRDefault="00AA29A2" w:rsidP="00AA29A2">
      <w:pPr>
        <w:jc w:val="both"/>
        <w:rPr>
          <w:b/>
          <w:sz w:val="22"/>
          <w:szCs w:val="22"/>
        </w:rPr>
      </w:pPr>
      <w:r w:rsidRPr="00AA29A2">
        <w:rPr>
          <w:sz w:val="22"/>
          <w:szCs w:val="22"/>
        </w:rPr>
        <w:t>Количество зачетов приведено с учетом зачетов по дисциплине «Физическая культура» (2 в учебном году).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7"/>
        <w:gridCol w:w="6319"/>
      </w:tblGrid>
      <w:tr w:rsidR="00AA29A2" w:rsidRPr="00AA29A2" w:rsidTr="00AA29A2">
        <w:trPr>
          <w:trHeight w:val="1138"/>
        </w:trPr>
        <w:tc>
          <w:tcPr>
            <w:tcW w:w="8897" w:type="dxa"/>
          </w:tcPr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4. Практика</w:t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AA29A2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AA29A2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4,6</w:t>
                  </w:r>
                  <w:r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(уровень углубленной подготовки)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AA29A2">
              <w:rPr>
                <w:sz w:val="22"/>
                <w:szCs w:val="22"/>
              </w:rPr>
              <w:t>5.1.</w:t>
            </w:r>
            <w:r w:rsidRPr="00276EAB">
              <w:rPr>
                <w:sz w:val="24"/>
                <w:szCs w:val="24"/>
              </w:rPr>
              <w:t xml:space="preserve"> Подготовка выпускной квалификационной работы </w:t>
            </w:r>
            <w:r w:rsidR="00920A6F">
              <w:rPr>
                <w:sz w:val="24"/>
                <w:szCs w:val="24"/>
              </w:rPr>
              <w:t>.</w:t>
            </w: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lastRenderedPageBreak/>
              <w:t>5.2. Защита  выпускной квалификационной работы</w:t>
            </w:r>
            <w:r w:rsidR="00920A6F">
              <w:rPr>
                <w:sz w:val="24"/>
                <w:szCs w:val="24"/>
              </w:rPr>
              <w:t>.</w:t>
            </w:r>
          </w:p>
          <w:p w:rsidR="00AA29A2" w:rsidRPr="00AA29A2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5.3. Государственный экзамен</w:t>
            </w:r>
            <w:proofErr w:type="gramStart"/>
            <w:r w:rsidRPr="00276EAB">
              <w:rPr>
                <w:sz w:val="24"/>
                <w:szCs w:val="24"/>
              </w:rPr>
              <w:t xml:space="preserve">  </w:t>
            </w:r>
            <w:r w:rsidR="00920A6F">
              <w:rPr>
                <w:sz w:val="24"/>
                <w:szCs w:val="24"/>
              </w:rPr>
              <w:t>.</w:t>
            </w:r>
            <w:proofErr w:type="gramEnd"/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Государственная итоговая аттестация по ППССЗ углубленной  подготовки соответствующей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квалификации включает: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государственный экзамен </w:t>
            </w:r>
            <w:r w:rsidRPr="00AA29A2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AA29A2">
              <w:rPr>
                <w:sz w:val="22"/>
                <w:szCs w:val="22"/>
              </w:rPr>
              <w:t>;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выпускную квалификационную работу с тематикой в рамках профессионального модуля «Творческая и исполнительская деятельность» - эскиз картины.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-57"/>
              <w:tblOverlap w:val="never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6103"/>
            </w:tblGrid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lastRenderedPageBreak/>
                    <w:t>6. Примерный перечень кабинетов, лабораторий, мастерских и др.:</w:t>
                  </w: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A29A2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Для занятий по междисциплинарному курсу « Композиция и анализ произведений изобразительного искусства»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Мастерские: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Живописи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lastRenderedPageBreak/>
                    <w:t>Спортивный  комплекс: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Выставочный зал (фойе)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</w:tc>
      </w:tr>
    </w:tbl>
    <w:p w:rsidR="00AA29A2" w:rsidRPr="00AA29A2" w:rsidRDefault="00AA29A2" w:rsidP="00AA29A2">
      <w:pPr>
        <w:jc w:val="center"/>
        <w:rPr>
          <w:b/>
          <w:sz w:val="22"/>
          <w:szCs w:val="22"/>
        </w:rPr>
      </w:pPr>
      <w:r w:rsidRPr="00AA29A2">
        <w:rPr>
          <w:b/>
          <w:sz w:val="22"/>
          <w:szCs w:val="22"/>
        </w:rPr>
        <w:lastRenderedPageBreak/>
        <w:t>7. Пояснения к учебному плану</w:t>
      </w:r>
    </w:p>
    <w:p w:rsidR="00AA29A2" w:rsidRPr="00AA29A2" w:rsidRDefault="00AA29A2" w:rsidP="00AA29A2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AA29A2">
        <w:rPr>
          <w:sz w:val="22"/>
          <w:szCs w:val="22"/>
          <w:lang w:val="ru-RU"/>
        </w:rPr>
        <w:t xml:space="preserve">            1. </w:t>
      </w:r>
      <w:proofErr w:type="gramStart"/>
      <w:r w:rsidRPr="00AA29A2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</w:t>
      </w:r>
      <w:r w:rsidR="00331C26" w:rsidRPr="00331C26">
        <w:rPr>
          <w:sz w:val="22"/>
          <w:szCs w:val="22"/>
          <w:lang w:val="ru-RU"/>
        </w:rPr>
        <w:t xml:space="preserve"> </w:t>
      </w:r>
      <w:r w:rsidR="00331C26" w:rsidRPr="00AA29A2">
        <w:rPr>
          <w:sz w:val="22"/>
          <w:szCs w:val="22"/>
          <w:lang w:val="ru-RU"/>
        </w:rPr>
        <w:t xml:space="preserve">по специальности 54.02.05  Живопись (по видам), утвержденного Министерством образования и науки Российской Федерации </w:t>
      </w:r>
      <w:r w:rsidR="00331C26" w:rsidRPr="00AA29A2">
        <w:rPr>
          <w:bCs/>
          <w:sz w:val="22"/>
          <w:szCs w:val="22"/>
          <w:lang w:val="ru-RU"/>
        </w:rPr>
        <w:t xml:space="preserve">13 августа 2014 г. </w:t>
      </w:r>
      <w:r w:rsidR="00331C26" w:rsidRPr="00AA29A2">
        <w:rPr>
          <w:bCs/>
          <w:sz w:val="22"/>
          <w:szCs w:val="22"/>
        </w:rPr>
        <w:t>N</w:t>
      </w:r>
      <w:r w:rsidR="00331C26" w:rsidRPr="00AA29A2">
        <w:rPr>
          <w:bCs/>
          <w:sz w:val="22"/>
          <w:szCs w:val="22"/>
          <w:lang w:val="ru-RU"/>
        </w:rPr>
        <w:t xml:space="preserve"> 995.</w:t>
      </w:r>
      <w:r w:rsidRPr="00AA29A2">
        <w:rPr>
          <w:sz w:val="22"/>
          <w:szCs w:val="22"/>
          <w:lang w:val="ru-RU"/>
        </w:rPr>
        <w:t xml:space="preserve">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Pr="00AA29A2">
        <w:rPr>
          <w:sz w:val="22"/>
          <w:szCs w:val="22"/>
          <w:lang w:val="ru-RU"/>
        </w:rPr>
        <w:t xml:space="preserve"> </w:t>
      </w:r>
      <w:proofErr w:type="gramStart"/>
      <w:r w:rsidRPr="00AA29A2">
        <w:rPr>
          <w:sz w:val="22"/>
          <w:szCs w:val="22"/>
          <w:lang w:val="ru-RU"/>
        </w:rPr>
        <w:t xml:space="preserve">Российской Федерации» № 273-ФЗ от 29.12.2012 г.), </w:t>
      </w:r>
      <w:r w:rsidRPr="00331C26">
        <w:rPr>
          <w:sz w:val="24"/>
          <w:szCs w:val="24"/>
          <w:lang w:val="ru-RU"/>
        </w:rPr>
        <w:t xml:space="preserve"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</w:t>
      </w:r>
      <w:r w:rsidRPr="00331C26">
        <w:rPr>
          <w:sz w:val="24"/>
          <w:szCs w:val="24"/>
        </w:rPr>
        <w:t>N</w:t>
      </w:r>
      <w:r w:rsidRPr="00331C26">
        <w:rPr>
          <w:sz w:val="24"/>
          <w:szCs w:val="24"/>
          <w:lang w:val="ru-RU"/>
        </w:rPr>
        <w:t xml:space="preserve"> 06-259),</w:t>
      </w:r>
      <w:r w:rsidRPr="00331C26">
        <w:rPr>
          <w:bCs/>
          <w:sz w:val="22"/>
          <w:szCs w:val="22"/>
          <w:bdr w:val="none" w:sz="0" w:space="0" w:color="auto" w:frame="1"/>
          <w:lang w:val="ru-RU"/>
        </w:rPr>
        <w:t>Федеральный государственный образовательный стандарт среднего (полного</w:t>
      </w:r>
      <w:proofErr w:type="gramEnd"/>
      <w:r w:rsidRPr="00331C26">
        <w:rPr>
          <w:bCs/>
          <w:sz w:val="22"/>
          <w:szCs w:val="22"/>
          <w:bdr w:val="none" w:sz="0" w:space="0" w:color="auto" w:frame="1"/>
          <w:lang w:val="ru-RU"/>
        </w:rPr>
        <w:t>) общего образования</w:t>
      </w:r>
      <w:r w:rsidRPr="00331C26">
        <w:rPr>
          <w:sz w:val="22"/>
          <w:szCs w:val="22"/>
          <w:lang w:val="ru-RU"/>
        </w:rPr>
        <w:t xml:space="preserve"> </w:t>
      </w:r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(утвержден приказом </w:t>
      </w:r>
      <w:proofErr w:type="spellStart"/>
      <w:r w:rsidRPr="00331C26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 России</w:t>
      </w:r>
      <w:r w:rsidRPr="00331C26">
        <w:rPr>
          <w:rStyle w:val="apple-converted-space"/>
          <w:iCs/>
          <w:sz w:val="22"/>
          <w:szCs w:val="22"/>
          <w:bdr w:val="none" w:sz="0" w:space="0" w:color="auto" w:frame="1"/>
        </w:rPr>
        <w:t> </w:t>
      </w:r>
      <w:hyperlink r:id="rId10" w:history="1">
        <w:r w:rsidRPr="00331C26">
          <w:rPr>
            <w:rStyle w:val="af3"/>
            <w:rFonts w:eastAsia="Lucida Grande CY"/>
            <w:iCs/>
            <w:color w:val="auto"/>
            <w:sz w:val="22"/>
            <w:szCs w:val="22"/>
            <w:u w:val="none"/>
            <w:bdr w:val="none" w:sz="0" w:space="0" w:color="auto" w:frame="1"/>
            <w:lang w:val="ru-RU"/>
          </w:rPr>
          <w:t>от 17 мая 2012 г. № 413</w:t>
        </w:r>
      </w:hyperlink>
      <w:r w:rsidRPr="00331C26">
        <w:rPr>
          <w:iCs/>
          <w:sz w:val="22"/>
          <w:szCs w:val="22"/>
          <w:bdr w:val="none" w:sz="0" w:space="0" w:color="auto" w:frame="1"/>
          <w:lang w:val="ru-RU"/>
        </w:rPr>
        <w:t>),</w:t>
      </w:r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Приказ </w:t>
      </w:r>
      <w:proofErr w:type="spellStart"/>
      <w:r w:rsidRPr="00AA29A2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</w:t>
      </w:r>
      <w:r>
        <w:rPr>
          <w:iCs/>
          <w:sz w:val="22"/>
          <w:szCs w:val="22"/>
          <w:bdr w:val="none" w:sz="0" w:space="0" w:color="auto" w:frame="1"/>
          <w:lang w:val="ru-RU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2. В период обучения с юношами проводятся учебные сборы.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AA29A2">
        <w:rPr>
          <w:sz w:val="22"/>
          <w:szCs w:val="22"/>
        </w:rPr>
        <w:t>внеучебных</w:t>
      </w:r>
      <w:proofErr w:type="spellEnd"/>
      <w:r w:rsidRPr="00AA29A2">
        <w:rPr>
          <w:sz w:val="22"/>
          <w:szCs w:val="22"/>
        </w:rPr>
        <w:t xml:space="preserve"> занятий.</w:t>
      </w:r>
    </w:p>
    <w:p w:rsidR="00AA29A2" w:rsidRPr="00AA29A2" w:rsidRDefault="00AA29A2" w:rsidP="00AA29A2">
      <w:pPr>
        <w:shd w:val="clear" w:color="auto" w:fill="FFFFFF"/>
        <w:ind w:firstLine="544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5. Контрольные работы и зачеты, предусмотренные учебным планом, проводятся за счет учебного времени, отведенного на изучение дисциплины.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«Композиция и анализ произведений изобразительного искусства» является экзаменационный просмотр учебно-творческих работ на семестровых выставках.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lastRenderedPageBreak/>
        <w:t xml:space="preserve">7. </w:t>
      </w:r>
      <w:proofErr w:type="gramStart"/>
      <w:r w:rsidRPr="00AA29A2">
        <w:rPr>
          <w:sz w:val="22"/>
          <w:szCs w:val="22"/>
        </w:rPr>
        <w:t xml:space="preserve">Учебная практика </w:t>
      </w:r>
      <w:r w:rsidRPr="00AA29A2">
        <w:rPr>
          <w:spacing w:val="-1"/>
          <w:sz w:val="22"/>
          <w:szCs w:val="22"/>
        </w:rPr>
        <w:t xml:space="preserve">(работа с натуры на открытом воздухе </w:t>
      </w:r>
      <w:r w:rsidRPr="00AA29A2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AA29A2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AA29A2">
        <w:rPr>
          <w:sz w:val="22"/>
          <w:szCs w:val="22"/>
        </w:rPr>
        <w:t>ИЗО</w:t>
      </w:r>
      <w:proofErr w:type="gramEnd"/>
      <w:r w:rsidRPr="00AA29A2">
        <w:rPr>
          <w:sz w:val="22"/>
          <w:szCs w:val="22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9. Консультации для </w:t>
      </w:r>
      <w:proofErr w:type="gramStart"/>
      <w:r w:rsidRPr="00AA29A2">
        <w:rPr>
          <w:sz w:val="22"/>
          <w:szCs w:val="22"/>
        </w:rPr>
        <w:t>обучающихся</w:t>
      </w:r>
      <w:proofErr w:type="gramEnd"/>
      <w:r w:rsidRPr="00AA29A2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 xml:space="preserve">11. </w:t>
      </w:r>
      <w:proofErr w:type="gramStart"/>
      <w:r w:rsidRPr="00AA29A2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учитывается условие комплектования обучающихся в группы не менее 6 человек.</w:t>
      </w:r>
      <w:proofErr w:type="gramEnd"/>
      <w:r w:rsidRPr="00AA29A2">
        <w:rPr>
          <w:sz w:val="22"/>
          <w:szCs w:val="22"/>
        </w:rPr>
        <w:t xml:space="preserve"> Организация приема осуществляется при условии формирования групп следующим образом: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AA29A2">
        <w:rPr>
          <w:sz w:val="22"/>
          <w:szCs w:val="22"/>
        </w:rPr>
        <w:t>Цветоведение</w:t>
      </w:r>
      <w:proofErr w:type="spellEnd"/>
      <w:r w:rsidRPr="00AA29A2">
        <w:rPr>
          <w:sz w:val="22"/>
          <w:szCs w:val="22"/>
        </w:rPr>
        <w:t>», междисциплинарным курсам;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10-15 человек – для занятий по учебным дисциплинам федерального компонента среднего общего образования и дисциплинам общего гуманитарного и социально-экономического цикла;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Ind w:w="2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2537"/>
        <w:gridCol w:w="2126"/>
        <w:gridCol w:w="2552"/>
      </w:tblGrid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  <w:r w:rsidRPr="00AA29A2">
        <w:rPr>
          <w:sz w:val="22"/>
          <w:szCs w:val="22"/>
        </w:rPr>
        <w:t>Для выполнения заданий по междисциплинарному комплексу «Композиция и анализ произведений изобразительного искусства», на одного обучающегося на весь период обучения предусматривается до 100 часов работы с живой натурой.</w:t>
      </w:r>
    </w:p>
    <w:p w:rsidR="00AA29A2" w:rsidRPr="00AA29A2" w:rsidRDefault="00AA29A2" w:rsidP="00AA29A2">
      <w:pPr>
        <w:rPr>
          <w:sz w:val="22"/>
          <w:szCs w:val="22"/>
        </w:rPr>
      </w:pPr>
    </w:p>
    <w:p w:rsidR="00AA29A2" w:rsidRPr="00AA29A2" w:rsidRDefault="00AA29A2" w:rsidP="00AA29A2">
      <w:pPr>
        <w:jc w:val="right"/>
        <w:rPr>
          <w:sz w:val="22"/>
          <w:szCs w:val="22"/>
        </w:rPr>
      </w:pPr>
      <w:r w:rsidRPr="00AA29A2">
        <w:rPr>
          <w:sz w:val="22"/>
          <w:szCs w:val="22"/>
        </w:rPr>
        <w:t xml:space="preserve">СОГЛАСОВАНО:               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6"/>
        <w:gridCol w:w="2693"/>
      </w:tblGrid>
      <w:tr w:rsidR="00331C26" w:rsidRPr="00AA29A2" w:rsidTr="00331C26">
        <w:trPr>
          <w:trHeight w:val="272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693" w:type="dxa"/>
            <w:vAlign w:val="bottom"/>
          </w:tcPr>
          <w:p w:rsidR="00331C26" w:rsidRPr="00AA29A2" w:rsidRDefault="00331C26" w:rsidP="00331C26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Гончарова Е.Г.</w:t>
            </w:r>
          </w:p>
        </w:tc>
      </w:tr>
      <w:tr w:rsidR="008B4EAF" w:rsidRPr="00AA29A2" w:rsidTr="00331C26">
        <w:trPr>
          <w:trHeight w:val="272"/>
        </w:trPr>
        <w:tc>
          <w:tcPr>
            <w:tcW w:w="11766" w:type="dxa"/>
            <w:vAlign w:val="bottom"/>
          </w:tcPr>
          <w:p w:rsidR="008B4EAF" w:rsidRPr="00AA29A2" w:rsidRDefault="008B4EAF" w:rsidP="00331C26">
            <w:pPr>
              <w:ind w:right="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693" w:type="dxa"/>
            <w:vAlign w:val="bottom"/>
          </w:tcPr>
          <w:p w:rsidR="008B4EAF" w:rsidRPr="00AA29A2" w:rsidRDefault="008B4EAF" w:rsidP="0033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331C26" w:rsidRPr="00AA29A2" w:rsidTr="00331C26">
        <w:trPr>
          <w:trHeight w:val="274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693" w:type="dxa"/>
            <w:vAlign w:val="bottom"/>
          </w:tcPr>
          <w:p w:rsidR="00331C26" w:rsidRPr="00AA29A2" w:rsidRDefault="00384C94" w:rsidP="0033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Омельяненко Е.В.</w:t>
            </w:r>
          </w:p>
        </w:tc>
      </w:tr>
      <w:tr w:rsidR="00331C26" w:rsidRPr="00AA29A2" w:rsidTr="00331C26">
        <w:trPr>
          <w:trHeight w:val="278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693" w:type="dxa"/>
            <w:vAlign w:val="bottom"/>
          </w:tcPr>
          <w:p w:rsidR="00331C26" w:rsidRPr="00AA29A2" w:rsidRDefault="00902A95" w:rsidP="00331C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Савеленко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  <w:r w:rsidR="001C257C">
              <w:rPr>
                <w:sz w:val="22"/>
                <w:szCs w:val="22"/>
              </w:rPr>
              <w:t>.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</w:p>
    <w:p w:rsidR="00DC5584" w:rsidRPr="00AA29A2" w:rsidRDefault="00DC5584" w:rsidP="00331C26">
      <w:pPr>
        <w:autoSpaceDE w:val="0"/>
        <w:autoSpaceDN w:val="0"/>
        <w:adjustRightInd w:val="0"/>
        <w:spacing w:line="180" w:lineRule="atLeast"/>
        <w:jc w:val="center"/>
        <w:outlineLvl w:val="0"/>
        <w:rPr>
          <w:sz w:val="22"/>
          <w:szCs w:val="22"/>
        </w:rPr>
      </w:pPr>
    </w:p>
    <w:sectPr w:rsidR="00DC5584" w:rsidRPr="00AA29A2" w:rsidSect="00D3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8B" w:rsidRDefault="006D238B" w:rsidP="00DC5584">
      <w:r>
        <w:separator/>
      </w:r>
    </w:p>
  </w:endnote>
  <w:endnote w:type="continuationSeparator" w:id="0">
    <w:p w:rsidR="006D238B" w:rsidRDefault="006D238B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8B" w:rsidRDefault="006D238B" w:rsidP="00DC5584">
      <w:r>
        <w:separator/>
      </w:r>
    </w:p>
  </w:footnote>
  <w:footnote w:type="continuationSeparator" w:id="0">
    <w:p w:rsidR="006D238B" w:rsidRDefault="006D238B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35"/>
    <w:rsid w:val="0000724E"/>
    <w:rsid w:val="000105C9"/>
    <w:rsid w:val="00025992"/>
    <w:rsid w:val="000338AE"/>
    <w:rsid w:val="00063E8A"/>
    <w:rsid w:val="00070878"/>
    <w:rsid w:val="0009587B"/>
    <w:rsid w:val="000B59B4"/>
    <w:rsid w:val="000C2610"/>
    <w:rsid w:val="000C464D"/>
    <w:rsid w:val="000E369C"/>
    <w:rsid w:val="00106921"/>
    <w:rsid w:val="00121BD0"/>
    <w:rsid w:val="00126A97"/>
    <w:rsid w:val="00155F55"/>
    <w:rsid w:val="00161D7D"/>
    <w:rsid w:val="001705F8"/>
    <w:rsid w:val="00181080"/>
    <w:rsid w:val="00190461"/>
    <w:rsid w:val="001C257C"/>
    <w:rsid w:val="001F2089"/>
    <w:rsid w:val="002270D6"/>
    <w:rsid w:val="002352C3"/>
    <w:rsid w:val="00253D5E"/>
    <w:rsid w:val="002607C4"/>
    <w:rsid w:val="00276EAB"/>
    <w:rsid w:val="002910FA"/>
    <w:rsid w:val="00293766"/>
    <w:rsid w:val="00293ED0"/>
    <w:rsid w:val="002C2883"/>
    <w:rsid w:val="002F668B"/>
    <w:rsid w:val="003013DF"/>
    <w:rsid w:val="00305DE3"/>
    <w:rsid w:val="00331C26"/>
    <w:rsid w:val="003406A4"/>
    <w:rsid w:val="003428DF"/>
    <w:rsid w:val="0035671E"/>
    <w:rsid w:val="00376B18"/>
    <w:rsid w:val="00384C94"/>
    <w:rsid w:val="003A6843"/>
    <w:rsid w:val="00411495"/>
    <w:rsid w:val="00445261"/>
    <w:rsid w:val="00461D46"/>
    <w:rsid w:val="00466C8D"/>
    <w:rsid w:val="00473817"/>
    <w:rsid w:val="00477F25"/>
    <w:rsid w:val="00481E01"/>
    <w:rsid w:val="00493BCD"/>
    <w:rsid w:val="004E0355"/>
    <w:rsid w:val="004E19C9"/>
    <w:rsid w:val="00506A16"/>
    <w:rsid w:val="00513B15"/>
    <w:rsid w:val="00524DB0"/>
    <w:rsid w:val="00553D62"/>
    <w:rsid w:val="005A1CD7"/>
    <w:rsid w:val="00603A9B"/>
    <w:rsid w:val="006306CB"/>
    <w:rsid w:val="00646784"/>
    <w:rsid w:val="00663980"/>
    <w:rsid w:val="00681C66"/>
    <w:rsid w:val="006B4192"/>
    <w:rsid w:val="006D10A3"/>
    <w:rsid w:val="006D238B"/>
    <w:rsid w:val="006F16F6"/>
    <w:rsid w:val="00731B95"/>
    <w:rsid w:val="007563ED"/>
    <w:rsid w:val="007913CE"/>
    <w:rsid w:val="007A125C"/>
    <w:rsid w:val="00837173"/>
    <w:rsid w:val="0084092B"/>
    <w:rsid w:val="00846918"/>
    <w:rsid w:val="00864820"/>
    <w:rsid w:val="008678AA"/>
    <w:rsid w:val="0089794F"/>
    <w:rsid w:val="008A4D29"/>
    <w:rsid w:val="008B4EAF"/>
    <w:rsid w:val="008E7A8A"/>
    <w:rsid w:val="00902A95"/>
    <w:rsid w:val="00920A6F"/>
    <w:rsid w:val="009344F1"/>
    <w:rsid w:val="00937200"/>
    <w:rsid w:val="00940894"/>
    <w:rsid w:val="00990E70"/>
    <w:rsid w:val="009972B8"/>
    <w:rsid w:val="009A301D"/>
    <w:rsid w:val="009A4051"/>
    <w:rsid w:val="009B5FD7"/>
    <w:rsid w:val="009C6E67"/>
    <w:rsid w:val="00A101BA"/>
    <w:rsid w:val="00A17FF5"/>
    <w:rsid w:val="00A27CBC"/>
    <w:rsid w:val="00A41E44"/>
    <w:rsid w:val="00A73C77"/>
    <w:rsid w:val="00A817C7"/>
    <w:rsid w:val="00A87468"/>
    <w:rsid w:val="00A874CD"/>
    <w:rsid w:val="00AA29A2"/>
    <w:rsid w:val="00AF2E5B"/>
    <w:rsid w:val="00B11168"/>
    <w:rsid w:val="00B2222A"/>
    <w:rsid w:val="00B343EE"/>
    <w:rsid w:val="00B368E4"/>
    <w:rsid w:val="00B432AE"/>
    <w:rsid w:val="00B44FC3"/>
    <w:rsid w:val="00B51898"/>
    <w:rsid w:val="00B81800"/>
    <w:rsid w:val="00BB008A"/>
    <w:rsid w:val="00BB46E7"/>
    <w:rsid w:val="00C215D2"/>
    <w:rsid w:val="00C546BB"/>
    <w:rsid w:val="00C57E56"/>
    <w:rsid w:val="00C654CB"/>
    <w:rsid w:val="00C661DE"/>
    <w:rsid w:val="00C72048"/>
    <w:rsid w:val="00C73772"/>
    <w:rsid w:val="00C82C4B"/>
    <w:rsid w:val="00C94666"/>
    <w:rsid w:val="00CA7193"/>
    <w:rsid w:val="00CA79D8"/>
    <w:rsid w:val="00CE1C30"/>
    <w:rsid w:val="00CF0E97"/>
    <w:rsid w:val="00D34A35"/>
    <w:rsid w:val="00D370C4"/>
    <w:rsid w:val="00D37D9D"/>
    <w:rsid w:val="00D400B2"/>
    <w:rsid w:val="00D42159"/>
    <w:rsid w:val="00D87C50"/>
    <w:rsid w:val="00D93B46"/>
    <w:rsid w:val="00D957A0"/>
    <w:rsid w:val="00DA4D3D"/>
    <w:rsid w:val="00DB3292"/>
    <w:rsid w:val="00DC5584"/>
    <w:rsid w:val="00DC6878"/>
    <w:rsid w:val="00DD3684"/>
    <w:rsid w:val="00DF5EFE"/>
    <w:rsid w:val="00E235AE"/>
    <w:rsid w:val="00E5022F"/>
    <w:rsid w:val="00E60DFD"/>
    <w:rsid w:val="00E83F98"/>
    <w:rsid w:val="00E91337"/>
    <w:rsid w:val="00E973F4"/>
    <w:rsid w:val="00EB32DE"/>
    <w:rsid w:val="00EB6406"/>
    <w:rsid w:val="00EE1984"/>
    <w:rsid w:val="00EF1747"/>
    <w:rsid w:val="00F45D8C"/>
    <w:rsid w:val="00F565EB"/>
    <w:rsid w:val="00F57DDF"/>
    <w:rsid w:val="00F66527"/>
    <w:rsid w:val="00F97651"/>
    <w:rsid w:val="00FA48B5"/>
    <w:rsid w:val="00FB7DB3"/>
    <w:rsid w:val="00FC5F03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xn--80abucjiibhv9a.xn--p1ai/%D0%B4%D0%BE%D0%BA%D1%83%D0%BC%D0%B5%D0%BD%D1%82%D1%8B/2365/%D1%84%D0%B0%D0%B9%D0%BB/736/12.05.17-%D0%9F%D1%80%D0%B8%D0%BA%D0%B0%D0%B7_413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234F4-6ABF-4213-82A6-99A5698B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2</cp:revision>
  <cp:lastPrinted>2022-11-14T12:02:00Z</cp:lastPrinted>
  <dcterms:created xsi:type="dcterms:W3CDTF">2023-11-16T11:24:00Z</dcterms:created>
  <dcterms:modified xsi:type="dcterms:W3CDTF">2023-11-16T11:24:00Z</dcterms:modified>
</cp:coreProperties>
</file>