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wordWrap w:val="0"/>
        <w:autoSpaceDE w:val="0"/>
        <w:autoSpaceDN w:val="0"/>
        <w:adjustRightInd w:val="0"/>
        <w:jc w:val="right"/>
        <w:rPr>
          <w:rFonts w:hint="default"/>
          <w:sz w:val="28"/>
          <w:lang w:val="ru-RU"/>
        </w:rPr>
      </w:pPr>
      <w:r>
        <w:rPr>
          <w:lang w:val="zh-CN" w:eastAsia="zh-CN"/>
        </w:rPr>
        <w:t>54.02.05 Живопись (по вид</w:t>
      </w:r>
      <w:r>
        <w:rPr>
          <w:lang w:val="ru-RU" w:eastAsia="zh-CN"/>
        </w:rPr>
        <w:t>у</w:t>
      </w:r>
      <w:r>
        <w:rPr>
          <w:rFonts w:hint="default"/>
          <w:lang w:val="ru-RU" w:eastAsia="zh-CN"/>
        </w:rPr>
        <w:t>: Театрально-декорационнная живопись)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 0</w:t>
      </w:r>
      <w:r>
        <w:rPr>
          <w:rFonts w:hint="default"/>
          <w:b/>
          <w:sz w:val="28"/>
          <w:szCs w:val="28"/>
          <w:lang w:val="ru-RU"/>
        </w:rPr>
        <w:t xml:space="preserve">1.11 </w:t>
      </w:r>
      <w:r>
        <w:rPr>
          <w:b/>
          <w:sz w:val="28"/>
          <w:szCs w:val="28"/>
        </w:rPr>
        <w:t xml:space="preserve"> Индивидуальный проект»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wordWrap/>
        <w:autoSpaceDE w:val="0"/>
        <w:autoSpaceDN w:val="0"/>
        <w:adjustRightInd w:val="0"/>
        <w:jc w:val="center"/>
        <w:rPr>
          <w:rFonts w:hint="default"/>
          <w:sz w:val="28"/>
          <w:lang w:val="ru-RU"/>
        </w:rPr>
      </w:pPr>
      <w:r>
        <w:rPr>
          <w:b/>
          <w:sz w:val="28"/>
          <w:szCs w:val="28"/>
          <w:lang w:val="zh-CN" w:eastAsia="zh-CN"/>
        </w:rPr>
        <w:t xml:space="preserve">по специальности  54.02.05 </w:t>
      </w:r>
      <w:r>
        <w:rPr>
          <w:b/>
          <w:sz w:val="28"/>
          <w:szCs w:val="28"/>
          <w:lang w:val="zh-CN" w:eastAsia="zh-CN"/>
        </w:rPr>
        <w:br w:type="textWrapping"/>
      </w:r>
      <w:r>
        <w:rPr>
          <w:b/>
          <w:bCs w:val="0"/>
          <w:sz w:val="28"/>
          <w:szCs w:val="28"/>
          <w:lang w:val="zh-CN" w:eastAsia="zh-CN"/>
        </w:rPr>
        <w:t>Живопись (по вид</w:t>
      </w:r>
      <w:r>
        <w:rPr>
          <w:b/>
          <w:bCs w:val="0"/>
          <w:sz w:val="28"/>
          <w:szCs w:val="28"/>
          <w:lang w:val="ru-RU" w:eastAsia="zh-CN"/>
        </w:rPr>
        <w:t>у</w:t>
      </w:r>
      <w:r>
        <w:rPr>
          <w:rFonts w:hint="default"/>
          <w:b/>
          <w:bCs w:val="0"/>
          <w:sz w:val="28"/>
          <w:szCs w:val="28"/>
          <w:lang w:val="ru-RU" w:eastAsia="zh-CN"/>
        </w:rPr>
        <w:t>: Театрально-декорационнная живопись)</w:t>
      </w:r>
    </w:p>
    <w:p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                                    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Протокол №4</w:t>
            </w:r>
            <w:r>
              <w:rPr>
                <w:rFonts w:hint="default"/>
                <w:sz w:val="28"/>
                <w:szCs w:val="28"/>
                <w:lang w:val="ru-RU"/>
              </w:rPr>
              <w:br w:type="textWrapping"/>
            </w:r>
            <w:r>
              <w:rPr>
                <w:rFonts w:hint="default"/>
                <w:sz w:val="28"/>
                <w:szCs w:val="28"/>
                <w:lang w:val="ru-RU"/>
              </w:rPr>
              <w:t>от 17 июня 2024г.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336800" cy="802640"/>
                  <wp:effectExtent l="0" t="0" r="6350" b="165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wordWrap/>
              <w:autoSpaceDE w:val="0"/>
              <w:autoSpaceDN w:val="0"/>
              <w:adjustRightInd w:val="0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szCs w:val="28"/>
              </w:rPr>
              <w:t>54.02.05 Живопись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zh-CN" w:eastAsia="zh-CN"/>
              </w:rPr>
              <w:t>(по вид</w:t>
            </w:r>
            <w:r>
              <w:rPr>
                <w:sz w:val="28"/>
                <w:szCs w:val="28"/>
                <w:lang w:val="ru-RU" w:eastAsia="zh-CN"/>
              </w:rPr>
              <w:t>у</w:t>
            </w:r>
            <w:r>
              <w:rPr>
                <w:rFonts w:hint="default"/>
                <w:sz w:val="28"/>
                <w:szCs w:val="28"/>
                <w:lang w:val="ru-RU" w:eastAsia="zh-CN"/>
              </w:rPr>
              <w:t>: Театрально-декорационнная живопись)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20"/>
      </w:tblGrid>
      <w:tr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1099"/>
      </w:tblGrid>
      <w:tr>
        <w:tc>
          <w:tcPr>
            <w:tcW w:w="8472" w:type="dxa"/>
            <w:shd w:val="clear" w:color="auto" w:fill="auto"/>
          </w:tcPr>
          <w:p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54.02.05 Живопись </w:t>
      </w:r>
      <w:r>
        <w:rPr>
          <w:rFonts w:hint="default"/>
          <w:sz w:val="28"/>
          <w:szCs w:val="28"/>
          <w:lang w:val="ru-RU"/>
        </w:rPr>
        <w:t xml:space="preserve">(по виду: Театрально-декорационная живопись).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</w:t>
      </w:r>
      <w:r>
        <w:rPr>
          <w:rFonts w:hint="default"/>
          <w:sz w:val="28"/>
          <w:szCs w:val="28"/>
          <w:lang w:val="ru-RU"/>
        </w:rPr>
        <w:t>1.11</w:t>
      </w:r>
      <w:r>
        <w:rPr>
          <w:sz w:val="28"/>
          <w:szCs w:val="28"/>
        </w:rPr>
        <w:t xml:space="preserve"> «Индивидуальный проект» общеобразовательного цикла ОД 0</w:t>
      </w:r>
      <w:r>
        <w:rPr>
          <w:rFonts w:hint="default"/>
          <w:sz w:val="28"/>
          <w:szCs w:val="28"/>
          <w:lang w:val="ru-RU"/>
        </w:rPr>
        <w:t>1.11</w:t>
      </w:r>
      <w:r>
        <w:rPr>
          <w:sz w:val="28"/>
          <w:szCs w:val="28"/>
        </w:rPr>
        <w:t xml:space="preserve"> обязательной части ППСЗ.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Художник-живописец</w:t>
      </w:r>
      <w:r>
        <w:rPr>
          <w:rFonts w:hint="default"/>
          <w:bCs/>
          <w:sz w:val="28"/>
          <w:szCs w:val="28"/>
          <w:lang w:val="ru-RU"/>
        </w:rPr>
        <w:t>/</w:t>
      </w:r>
      <w:r>
        <w:rPr>
          <w:bCs/>
          <w:sz w:val="28"/>
          <w:szCs w:val="28"/>
        </w:rPr>
        <w:t>преподаватель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уметь: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учебнопознавательных задач;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«ИНДИВИДУАЛЬНЫЙ ПРОЕКТ»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 в виде и дифференцированного зачета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2 курс (4 семестр)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6420"/>
        </w:tabs>
        <w:suppressAutoHyphens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0" w:bottom="1134" w:left="1701" w:header="708" w:footer="708" w:gutter="0"/>
          <w:pgNumType w:start="0"/>
          <w:cols w:space="720" w:num="1"/>
          <w:titlePg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Style w:val="4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widowControl w:val="0"/>
              <w:jc w:val="both"/>
            </w:pPr>
            <w:r>
              <w:t>Проект. Классификация и типология проектов (бизнес, волонтерские, социальные, стартапы).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содержания индивидуального проекта с позиции 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требования по работе с содержанием практической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проекта..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форме устной защиты 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76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20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>
      <w:pPr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>
      <w:pPr>
        <w:numPr>
          <w:ilvl w:val="0"/>
          <w:numId w:val="2"/>
        </w:numPr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>
      <w:pPr>
        <w:numPr>
          <w:ilvl w:val="0"/>
          <w:numId w:val="2"/>
        </w:numPr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>
      <w:pPr>
        <w:numPr>
          <w:ilvl w:val="0"/>
          <w:numId w:val="2"/>
        </w:numPr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[Электронный ресурс] учеб. пособие. Изд. М.: «Открытый университет», 2018. – 152с.</w:t>
      </w:r>
    </w:p>
    <w:p>
      <w:pPr>
        <w:numPr>
          <w:ilvl w:val="0"/>
          <w:numId w:val="2"/>
        </w:numPr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>
      <w:pPr>
        <w:numPr>
          <w:ilvl w:val="0"/>
          <w:numId w:val="2"/>
        </w:numPr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>
      <w:pPr>
        <w:ind w:left="0" w:leftChars="0" w:firstLine="957" w:firstLineChars="342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b/>
          <w:caps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hint="default"/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</w:t>
      </w:r>
      <w:r>
        <w:rPr>
          <w:b/>
          <w:caps/>
          <w:sz w:val="28"/>
          <w:szCs w:val="28"/>
          <w:lang w:val="ru-RU"/>
        </w:rPr>
        <w:t>ИНДИВИДУАЛЬНЫЙ</w:t>
      </w:r>
      <w:r>
        <w:rPr>
          <w:rFonts w:hint="default"/>
          <w:b/>
          <w:caps/>
          <w:sz w:val="28"/>
          <w:szCs w:val="28"/>
          <w:lang w:val="ru-RU"/>
        </w:rPr>
        <w:t xml:space="preserve"> ПРОЕКТ»</w:t>
      </w:r>
      <w:bookmarkStart w:id="0" w:name="_GoBack"/>
      <w:bookmarkEnd w:id="0"/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  решать задачи, находящиеся на стыке нескольких учебных дисциплин;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осуществляется в форме устного опроса.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(3-4 семестры): дедлайны глав индивидуального студенческого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дифференцированный зачет в форме устной защиты индивидуального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  <w:i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11</w: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25BD1EEE"/>
    <w:rsid w:val="2CB80D9A"/>
    <w:rsid w:val="6DC12319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5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link w:val="28"/>
    <w:qFormat/>
    <w:uiPriority w:val="0"/>
    <w:pPr>
      <w:spacing w:after="120"/>
      <w:ind w:left="283"/>
    </w:pPr>
    <w:rPr>
      <w:lang w:val="zh-CN" w:eastAsia="zh-CN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2"/>
    <w:basedOn w:val="1"/>
    <w:qFormat/>
    <w:uiPriority w:val="0"/>
    <w:pPr>
      <w:ind w:left="566" w:hanging="283"/>
    </w:p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1">
    <w:name w:val="page number"/>
    <w:basedOn w:val="3"/>
    <w:qFormat/>
    <w:uiPriority w:val="0"/>
  </w:style>
  <w:style w:type="character" w:styleId="22">
    <w:name w:val="Strong"/>
    <w:qFormat/>
    <w:uiPriority w:val="0"/>
    <w:rPr>
      <w:b/>
      <w:bCs/>
    </w:rPr>
  </w:style>
  <w:style w:type="table" w:styleId="2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>
    <w:name w:val="Table Grid 1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25">
    <w:name w:val="Основной текст Знак"/>
    <w:link w:val="6"/>
    <w:qFormat/>
    <w:uiPriority w:val="0"/>
    <w:rPr>
      <w:sz w:val="24"/>
      <w:szCs w:val="24"/>
      <w:lang w:val="ru-RU" w:eastAsia="ru-RU" w:bidi="ar-SA"/>
    </w:rPr>
  </w:style>
  <w:style w:type="paragraph" w:customStyle="1" w:styleId="26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нак2"/>
    <w:basedOn w:val="1"/>
    <w:qFormat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с отступом Знак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ФИРО</Company>
  <Pages>13</Pages>
  <Words>2021</Words>
  <Characters>16183</Characters>
  <Lines>134</Lines>
  <Paragraphs>36</Paragraphs>
  <TotalTime>1</TotalTime>
  <ScaleCrop>false</ScaleCrop>
  <LinksUpToDate>false</LinksUpToDate>
  <CharactersWithSpaces>18168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2020-09-06T17:03:00Z</dcterms:created>
  <dc:creator>BLINOV</dc:creator>
  <cp:lastModifiedBy>maria</cp:lastModifiedBy>
  <cp:lastPrinted>2017-11-08T08:08:00Z</cp:lastPrinted>
  <dcterms:modified xsi:type="dcterms:W3CDTF">2024-09-11T12:30:06Z</dcterms:modified>
  <dc:title>ПРОЕКТ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69B711E7C5014844A1FA0E89C14FD2C0_12</vt:lpwstr>
  </property>
</Properties>
</file>